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9" w:rsidRDefault="00A97EB9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</w:pPr>
      <w:r w:rsidRPr="00652D73">
        <w:rPr>
          <w:noProof/>
        </w:rPr>
        <w:drawing>
          <wp:inline distT="0" distB="0" distL="0" distR="0" wp14:anchorId="71166FA6" wp14:editId="04C6232D">
            <wp:extent cx="514350" cy="98107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B9" w:rsidRDefault="00A97EB9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</w:pP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A97EB9" w:rsidRPr="00A97EB9" w:rsidRDefault="00A97EB9" w:rsidP="00A97E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область, Тацинский район</w:t>
      </w:r>
    </w:p>
    <w:p w:rsidR="00A97EB9" w:rsidRPr="00A97EB9" w:rsidRDefault="00A97EB9" w:rsidP="00A97E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E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образование «Михайловское сельское поселение»</w:t>
      </w: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A97EB9" w:rsidRPr="00A97EB9" w:rsidRDefault="00A97EB9" w:rsidP="00A97E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ПОСТАНОВЛЕНИЕ</w:t>
      </w:r>
    </w:p>
    <w:p w:rsidR="00A97EB9" w:rsidRPr="00A97EB9" w:rsidRDefault="00A97EB9" w:rsidP="00A97EB9">
      <w:pPr>
        <w:rPr>
          <w:rFonts w:eastAsiaTheme="minorEastAsia"/>
          <w:lang w:eastAsia="ru-RU"/>
        </w:rPr>
      </w:pPr>
    </w:p>
    <w:p w:rsidR="00A97EB9" w:rsidRPr="00A97EB9" w:rsidRDefault="00A97EB9" w:rsidP="00A97E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15  февраля  2024 года                             № 24                                х. Михайлов</w:t>
      </w:r>
    </w:p>
    <w:p w:rsidR="00A97EB9" w:rsidRPr="00A97EB9" w:rsidRDefault="00A97EB9" w:rsidP="00A97E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F3" w:rsidRPr="00AA15F3" w:rsidRDefault="00AA15F3" w:rsidP="00AA15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 отнесения земель к землям </w:t>
      </w:r>
    </w:p>
    <w:p w:rsid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значения муниципального образования</w:t>
      </w: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"Михайловское сельское поселение",</w:t>
      </w:r>
    </w:p>
    <w:p w:rsidR="00B3636E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использования и охраны</w:t>
      </w:r>
      <w:r w:rsidR="00A97EB9"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36F" w:rsidRPr="00A97EB9" w:rsidRDefault="00D5636F" w:rsidP="00A9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592F" w:rsidRDefault="00B3636E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06.10.2003 № 131-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Hlk94089191"/>
      <w:bookmarkStart w:id="1" w:name="_Hlk9409079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Михайловское сельское поселение</w:t>
      </w:r>
      <w:bookmarkEnd w:id="0"/>
      <w:bookmarkEnd w:id="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 Михайловского сельского поселения</w:t>
      </w:r>
      <w:r w:rsidR="00AA15F3" w:rsidRP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Тацинского района Ростовской области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 о с т а н о в л я е т:</w:t>
      </w:r>
    </w:p>
    <w:p w:rsidR="00AA15F3" w:rsidRPr="00C3592F" w:rsidRDefault="00AA15F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36E" w:rsidRDefault="00AA15F3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E976EF"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отнесения земель к землям особо охраняемых природных территорий местного значения муниципального образования "Михайловское сельское поселение", их использования и охраны</w:t>
      </w:r>
      <w:r w:rsidR="00B3636E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E976EF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отнесению 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к землям особо охраняемых природных территорий местного значения муниципального образования "Михайловское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состав.</w:t>
      </w:r>
    </w:p>
    <w:p w:rsidR="00E976EF" w:rsidRDefault="00E976E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отнесению земель к землям особо охраняемых природных территорий местного значения муниципального образования "Михайловское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C3592F" w:rsidRP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сельского поселения </w:t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7EB9" w:rsidRPr="00807210">
        <w:rPr>
          <w:rFonts w:ascii="Times New Roman" w:hAnsi="Times New Roman" w:cs="Times New Roman"/>
          <w:sz w:val="28"/>
          <w:szCs w:val="28"/>
        </w:rPr>
        <w:t>Л.С. Присяжнюк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</w:p>
    <w:p w:rsidR="00DA2217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___.___.2024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_____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F" w:rsidRPr="00E976EF" w:rsidRDefault="00E976EF" w:rsidP="00E976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7ED" w:rsidRDefault="00E976EF" w:rsidP="007D57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отнесения земель к землям особо охраняемых природных территорий местного значения муниципального образования "Михайловское сельское поселение", их использования и охраны</w:t>
      </w:r>
    </w:p>
    <w:p w:rsid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Настоящий Порядок отнесения земель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"Михайловское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использования и охраны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Порядок) разработан в соответствии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Земельным кодексом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Федерации, в целях урегулирования процедуры отнесения земель и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природных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территорий местного значения муниципального образования "Михайловское сельское поселение".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</w:t>
      </w:r>
      <w:r w:rsidRPr="007D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– 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дминистрация) полностью или частично из хозяйственного использования и оборота и для которых установлен особый правовой режим.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К землям особо охраняемых территорий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природоохранного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рекреационного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историко-культурного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Земли природоохранного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1.4.1. К землям природоохранного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занятые защитными лесами, предусмотренными лесным</w:t>
      </w:r>
      <w:r w:rsidR="00BD40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земли, выполняющие природоохранные функции.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 Земли рекреационного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1.5.2.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 Земли историко-культурного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1.6.1. К землям историко-культурного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военных и гражданских захоронений.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 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40E5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Порядок 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отнесения земель к землям особо</w:t>
      </w:r>
    </w:p>
    <w:p w:rsidR="007D57ED" w:rsidRDefault="007D57ED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охраняемых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территорий местного значения</w:t>
      </w:r>
    </w:p>
    <w:p w:rsidR="00BD40E5" w:rsidRPr="007D57ED" w:rsidRDefault="00BD40E5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BD40E5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Инициатива отнесения земель к землям особо охраняемых территорий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инициатива) может исходить от органов местного самоуправления и их должностных лиц, а также от органов государственной власти и их должностных лиц, от физических и юридических лиц, общественных организаций и объединений.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Инициатива оформляется в виде письменного обращения в администрацию </w:t>
      </w:r>
      <w:r w:rsid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обращение), которое направляется на имя главы муниципального образования </w:t>
      </w:r>
      <w:r w:rsidR="00704477" w:rsidRP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 обращении указываются: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 место нахождения заявителя;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местоположение планируемой особо охраняемой территории с указанием ее планируемой площади, кадастровых номеров земельных участков, входящих в состав планируемой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собственниках,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необходимости перевода земельных участков из земель одной категории в другую,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сведения о необходимости резервирования земель в целях расширения создаваемых 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особо охраняемой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территорий, а также необходимости последующего отнесения земельных участков, расположенных в границах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создаваемых особо охраняемых территорий, к землям особо охраняемых территорий и объектов.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К обращению прилагаются: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 документов, удостоверяющих лично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сть заявителя (для заявителей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физических лиц);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пояснительная записка о возможности создания особо охраняемой территории, содержащая обоснование ценности территории, на которой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схема размещения планируемой особо охраняемой территории с указанием планируемой площади, кадастровых номеров земельных участков,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местного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значения).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Прием и рассмотрение обращений об отнесении земель к землям особо охраняемых территорий осуществляет комиссия</w:t>
      </w:r>
      <w:r w:rsidR="002038CA" w:rsidRPr="002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отнесению земель к землям особо охраняемых природных территорий местного значения муниципального образования "Михайловское сельское поселение"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Комиссия в двухмесячный срок с даты поступления обращения: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рассматривает поступившее обращение с учетом документов территориального планирования и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об отнесении земель (земельного участка) к особо охраняемым территориям либо отказ в отнесении земель (земельного участка) к землям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рекомендует главе муниципального образования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763E" w:rsidRP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и о создании особо охраняемой территории, руководствуясь критериями природоохранного, научного, культурного, эстетического, оздоровительного значения;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письменно уведомляет заинтересованное лицо о принятом решении.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Комиссии оформляется протоколом.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Основаниями для отказа в отнесении земель (земельного участка) к землям особо охраняемых территорий являются случаи, когда: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отнесение земель (земельного участка) к землям особо охраняемых территорий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представлены недостоверные сведения в обращении и прилагаемых к нему документах.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2.8. На основании решения, принятого Комиссией, администрация принимает решение об отнесении земель (земельного участка) к землям особо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охраняемых территорий и о создании особо охраняемой территории, которое оформляется постановлением администрации.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2.9. Постановление администрации об отнесении земель (земельного участка) к землям особо охраняемых территорий подлежит официальному опубликованию в порядке, определенном для официального опубликования муниципальных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правовых актов.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Решение об отнесении земель (земельного участка) к землям особо охраняемых территорий должно определять: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правовой режим использования и охраны земель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организацию, на которую возлагается обязанность по содержанию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графическое описание местоположения границ земель (земельного участка) особо охраняемой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Исключение земель из состава земель особо охраняемых территорий осуществляется в том же порядке, что и их отнесение.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Порядок использования земель особо охраняемых территорий 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законодательства Российской Федерации,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настоящего Порядка, исходя из принципов сохранения и улучшения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законодательства по согласованию с администрацией.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На землях природоохранного назначения:</w:t>
      </w:r>
    </w:p>
    <w:p w:rsidR="005C5E04" w:rsidRDefault="007D57ED" w:rsidP="005C5E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3.2.1.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Ростовской области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муниципальными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нормативными правовыми актами органов местного самоуправления муниципального образования 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собственников земельных участков, землепользователей, землевладельцев и арендаторов земельных участков.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На землях рекреационного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3.3.1.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этом, указанные земельные участки не изымаются из использования.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3.3.2. Запрещается деятельность, не соответствующая их целевому назначению.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Земли историко-культурного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3.4.1. Используются строго в соответствии с их целевым назначением.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3.4.2.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статьей 54</w:t>
      </w:r>
      <w:r w:rsidR="005C5E04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25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.06.2002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73-ФЗ "Об объектах культурного наследия (памятниках истории и культуры) народов Российской Федерации".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3.4.3.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3.4.4. В целях сохранения исторической, ландшафтной и градостроительной среды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муниципального образования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требованиями охраны памятников истории и культуры.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На собственников особо ценных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Пользователи земельных участков особо охраняемых территорий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</w:t>
      </w:r>
      <w:proofErr w:type="spellStart"/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предпроектные</w:t>
      </w:r>
      <w:proofErr w:type="spellEnd"/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изыскания, научно-исследовательские работы и проектные разработки по сохранению и развитию земель особо охраняемых территорий при наличии разрешения администрации.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Охрана земель особо охраняемых территорий 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4.1. Правообладатели земельных участков в границах особо охраняемых территорий обязаны соблюдать установленные требования режима особой охраны.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Охрана земель особо охраняемых территорий включает: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наблюдение за состоянием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мероприятия в соответствии с действующим законодательством.</w:t>
      </w:r>
    </w:p>
    <w:p w:rsid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ответственность.</w:t>
      </w:r>
    </w:p>
    <w:p w:rsidR="0000674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___.___.2024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_____</w:t>
      </w: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комиссии по отнесению земель к землям особо охраняемых природных территорий местного значения муниципального образования "Михайловское сельское поселение"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отнесению земель к землям особо охраняемых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 порядок деятельности комиссии по отнесению земель к землям особо охраняемых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руководствуется </w:t>
      </w:r>
      <w:hyperlink r:id="rId10" w:anchor="/document/1010300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anchor="/document/1212462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2" w:anchor="/document/12138258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anchor="/document/12150845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4" w:anchor="/document/1214759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законодательством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 и иными нормативными правовыми актами Российской Федерации, законодательством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муниципальными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Порядок деятельности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 председателя и членов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Председатель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заседания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принятых Комиссией решений;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полномочия исполняет заместитель председателя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Секретарь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подготовку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материалы к заседаниям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материалы, необходимые для подготовки заседания Комиссии, которые представляются в Комиссию заинтересованными лицами, членами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членов Комиссии о дате, месте и времени проведения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заседания оформляет и подписывает протокол заседания;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поручения председателя Комиссии или его заместителя.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Члены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материалов к заседаниям Комиссии, а также проектов решений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Заседания Комиссии проводятся по мере поступления обращений от субъектов, указанных в </w:t>
      </w:r>
      <w:hyperlink r:id="rId15" w:anchor="/document/407681454/entry/116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2.2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</w:t>
      </w:r>
      <w:r w:rsidR="003214B5" w:rsidRPr="003214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земель к землям особо охраняемых природных территорий местного значения муниципального образования "Михайловское сельское поселение", их использования и охраны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Решение Комиссии оформляется протоколом, который подписывается всеми присутствовавшими на заседании Комиссии.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Порядок направления обращений в Комиссию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Поступившие в администрацию</w:t>
      </w:r>
      <w:r w:rsidR="003214B5"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отнесению земель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федеральных органов государственной власти, органов государственной власти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 (далее соответственно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заинтересованное лицо) направляются на рассмотрение в Комиссию.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осуществляет проверку данного обращения на соответствие </w:t>
      </w:r>
      <w:hyperlink r:id="rId16" w:anchor="/document/1010799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и законодательству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 не более чем в двухмесячный срок со дня поступления обращения.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рассмотрения обращений Комиссия принимает одно из следующих решений: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земель (земельного участка)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либо об отказе в отнесении земель (земельного участка)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главе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отнесении данного земельного участка (участков) к землям особо охраняемых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и о создании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Заключение Комиссии направляется в администрацию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3214B5" w:rsidP="003214B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0674D" w:rsidRPr="007D57E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00674D" w:rsidRDefault="007D57ED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217" w:rsidRPr="004826FA" w:rsidRDefault="00DA2217" w:rsidP="000067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00674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___.___.2024 </w:t>
      </w: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_____</w:t>
      </w:r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отнесению земель к землям особо охраняемых природных территорий местного значения муниципального образования "Михайловское сельское поселение" 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комиссии: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Присяжнюк Л.С. - глава администрации Михайловского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026CAF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комиссии: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Мацинин</w:t>
      </w:r>
      <w:proofErr w:type="spellEnd"/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Сергей Анатольевич, депутат Собрания депутатов Михайловского сельского поселения;</w:t>
      </w:r>
    </w:p>
    <w:p w:rsidR="009722F6" w:rsidRPr="00026CAF" w:rsidRDefault="00026CAF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</w:t>
      </w:r>
      <w:r w:rsidR="009722F6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омиссии: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Склярова Ольга Семеновна-ведущий специалист администрации</w:t>
      </w:r>
      <w:r w:rsidR="004826FA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4826FA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4826FA" w:rsidRDefault="00A1717E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Шикалова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Наталья Семеновна-ведущий специалист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A1717E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Кугатова Дарья Алексеевна-ведущий специалист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  <w:bookmarkStart w:id="2" w:name="_GoBack"/>
      <w:bookmarkEnd w:id="2"/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1C3D68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74" w:rsidRDefault="00C04F74" w:rsidP="008166AB">
      <w:pPr>
        <w:spacing w:after="0" w:line="240" w:lineRule="auto"/>
      </w:pPr>
      <w:r>
        <w:separator/>
      </w:r>
    </w:p>
  </w:endnote>
  <w:endnote w:type="continuationSeparator" w:id="0">
    <w:p w:rsidR="00C04F74" w:rsidRDefault="00C04F74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74" w:rsidRDefault="00C04F74" w:rsidP="008166AB">
      <w:pPr>
        <w:spacing w:after="0" w:line="240" w:lineRule="auto"/>
      </w:pPr>
      <w:r>
        <w:separator/>
      </w:r>
    </w:p>
  </w:footnote>
  <w:footnote w:type="continuationSeparator" w:id="0">
    <w:p w:rsidR="00C04F74" w:rsidRDefault="00C04F74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0"/>
    <w:rsid w:val="0000674D"/>
    <w:rsid w:val="00026CAF"/>
    <w:rsid w:val="00032E38"/>
    <w:rsid w:val="0005763E"/>
    <w:rsid w:val="00084469"/>
    <w:rsid w:val="00092879"/>
    <w:rsid w:val="00097148"/>
    <w:rsid w:val="000B5519"/>
    <w:rsid w:val="000C2799"/>
    <w:rsid w:val="000C5370"/>
    <w:rsid w:val="000E6146"/>
    <w:rsid w:val="00117296"/>
    <w:rsid w:val="00154D16"/>
    <w:rsid w:val="001C3079"/>
    <w:rsid w:val="001C3D68"/>
    <w:rsid w:val="002038CA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214B5"/>
    <w:rsid w:val="00330EC8"/>
    <w:rsid w:val="00343582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077A7"/>
    <w:rsid w:val="00433FB5"/>
    <w:rsid w:val="00460874"/>
    <w:rsid w:val="00481347"/>
    <w:rsid w:val="004826FA"/>
    <w:rsid w:val="004B14DB"/>
    <w:rsid w:val="00525F8A"/>
    <w:rsid w:val="00530C64"/>
    <w:rsid w:val="005577AF"/>
    <w:rsid w:val="00574AA5"/>
    <w:rsid w:val="005977AA"/>
    <w:rsid w:val="005B7870"/>
    <w:rsid w:val="005C5E04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704477"/>
    <w:rsid w:val="007115C5"/>
    <w:rsid w:val="00760397"/>
    <w:rsid w:val="00764005"/>
    <w:rsid w:val="00767047"/>
    <w:rsid w:val="007812BD"/>
    <w:rsid w:val="00791C97"/>
    <w:rsid w:val="007A2A1F"/>
    <w:rsid w:val="007B11F7"/>
    <w:rsid w:val="007D57ED"/>
    <w:rsid w:val="007D5BC9"/>
    <w:rsid w:val="00810437"/>
    <w:rsid w:val="008166AB"/>
    <w:rsid w:val="00833254"/>
    <w:rsid w:val="00843B63"/>
    <w:rsid w:val="00843C87"/>
    <w:rsid w:val="00884815"/>
    <w:rsid w:val="00892C81"/>
    <w:rsid w:val="008A6B28"/>
    <w:rsid w:val="008B376F"/>
    <w:rsid w:val="008F34CC"/>
    <w:rsid w:val="00936DEE"/>
    <w:rsid w:val="009639A7"/>
    <w:rsid w:val="009722F6"/>
    <w:rsid w:val="00973158"/>
    <w:rsid w:val="009B0B1A"/>
    <w:rsid w:val="009F335E"/>
    <w:rsid w:val="00A1717E"/>
    <w:rsid w:val="00A53AA0"/>
    <w:rsid w:val="00A542F4"/>
    <w:rsid w:val="00A66AC9"/>
    <w:rsid w:val="00A87D1D"/>
    <w:rsid w:val="00A97EB9"/>
    <w:rsid w:val="00AA15F3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40E5"/>
    <w:rsid w:val="00BD5B82"/>
    <w:rsid w:val="00BE0317"/>
    <w:rsid w:val="00BE6868"/>
    <w:rsid w:val="00BF282D"/>
    <w:rsid w:val="00BF65C5"/>
    <w:rsid w:val="00C022F9"/>
    <w:rsid w:val="00C04F74"/>
    <w:rsid w:val="00C21535"/>
    <w:rsid w:val="00C33033"/>
    <w:rsid w:val="00C3592F"/>
    <w:rsid w:val="00C52E61"/>
    <w:rsid w:val="00C74892"/>
    <w:rsid w:val="00C86394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E247AB"/>
    <w:rsid w:val="00E60981"/>
    <w:rsid w:val="00E82BF5"/>
    <w:rsid w:val="00E976EF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6DCE-C1AC-4FC1-B24A-6A10D8E6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</cp:lastModifiedBy>
  <cp:revision>4</cp:revision>
  <cp:lastPrinted>2024-02-22T06:53:00Z</cp:lastPrinted>
  <dcterms:created xsi:type="dcterms:W3CDTF">2024-02-21T08:50:00Z</dcterms:created>
  <dcterms:modified xsi:type="dcterms:W3CDTF">2024-02-22T07:32:00Z</dcterms:modified>
</cp:coreProperties>
</file>