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4F" w:rsidRDefault="002B484F" w:rsidP="002B484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</w:pPr>
    </w:p>
    <w:p w:rsidR="002B484F" w:rsidRPr="002B484F" w:rsidRDefault="00FA4348" w:rsidP="002B48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4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400050" cy="7239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4F" w:rsidRPr="002B484F" w:rsidRDefault="002B484F" w:rsidP="002B48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2B484F" w:rsidRPr="002B484F" w:rsidRDefault="002B484F" w:rsidP="002B48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Тацинский район</w:t>
      </w:r>
    </w:p>
    <w:p w:rsidR="002B484F" w:rsidRPr="002B484F" w:rsidRDefault="002B484F" w:rsidP="002B484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«Михайловское сельское поселение»</w:t>
      </w:r>
    </w:p>
    <w:p w:rsidR="002B484F" w:rsidRPr="002B484F" w:rsidRDefault="002B484F" w:rsidP="002B48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Михайловского сельского поселения</w:t>
      </w:r>
    </w:p>
    <w:p w:rsidR="002B484F" w:rsidRPr="002B484F" w:rsidRDefault="002B484F" w:rsidP="002B484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2B484F" w:rsidRPr="002B484F" w:rsidRDefault="002B484F" w:rsidP="002B484F">
      <w:pPr>
        <w:tabs>
          <w:tab w:val="left" w:pos="8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84F" w:rsidRPr="002B484F" w:rsidRDefault="002B484F" w:rsidP="002B484F">
      <w:pPr>
        <w:tabs>
          <w:tab w:val="left" w:pos="8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B484F" w:rsidRPr="002B484F" w:rsidRDefault="002B484F" w:rsidP="002B484F">
      <w:pPr>
        <w:tabs>
          <w:tab w:val="left" w:pos="8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84F" w:rsidRPr="002B484F" w:rsidRDefault="00FA4348" w:rsidP="002B48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B484F"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B484F"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                          </w:t>
      </w:r>
      <w:r w:rsid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2B484F"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  <w:r w:rsidR="002B484F" w:rsidRPr="002B4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х. Михайлов</w:t>
      </w:r>
    </w:p>
    <w:p w:rsidR="006863DE" w:rsidRPr="002B484F" w:rsidRDefault="006863DE" w:rsidP="002B484F">
      <w:pPr>
        <w:pStyle w:val="ab"/>
        <w:spacing w:before="0" w:after="0"/>
        <w:rPr>
          <w:b/>
          <w:bCs/>
          <w:color w:val="000000" w:themeColor="text1"/>
          <w:sz w:val="28"/>
          <w:szCs w:val="28"/>
        </w:rPr>
      </w:pPr>
    </w:p>
    <w:p w:rsidR="00B3636E" w:rsidRPr="00C3592F" w:rsidRDefault="00B3636E" w:rsidP="00B3636E">
      <w:pPr>
        <w:spacing w:after="0" w:line="240" w:lineRule="auto"/>
        <w:ind w:right="3547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Pr="00B3636E" w:rsidRDefault="00D5636F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484F" w:rsidRPr="002B484F" w:rsidRDefault="00B3636E" w:rsidP="002B4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Жилищным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01.10.2003 № 131–ФЗ «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</w:t>
      </w:r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</w:t>
      </w:r>
      <w:r w:rsidR="00CE41E7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28.01.2006 № 47</w:t>
      </w:r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признании помещения жилым помещением, жилого помещения непригодным </w:t>
      </w:r>
      <w:proofErr w:type="gramStart"/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проживания, многоквартирного дома аварийным и подлежащим сносу или реконструкции, садового дома жилым до</w:t>
      </w:r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 и жилого дома садовым домом»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Михайловское сельское поселение</w:t>
      </w:r>
      <w:bookmarkEnd w:id="0"/>
      <w:bookmarkEnd w:id="1"/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 района Ростовской области</w:t>
      </w:r>
      <w:r w:rsidR="002B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30EC8" w:rsidRPr="00330EC8" w:rsidRDefault="00330EC8" w:rsidP="00330EC8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EE9" w:rsidRDefault="00AD6EE9" w:rsidP="00A66AC9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2B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636E" w:rsidRDefault="00B3636E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8A2029" w:rsidRPr="008A2029" w:rsidRDefault="00BF282D" w:rsidP="00BF282D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A2029"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29"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</w:t>
      </w:r>
      <w:r w:rsid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 1).</w:t>
      </w:r>
    </w:p>
    <w:p w:rsidR="008A2029" w:rsidRDefault="008A2029" w:rsidP="008A2029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282D"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вопросам признания </w:t>
      </w:r>
    </w:p>
    <w:p w:rsidR="00BF282D" w:rsidRPr="008A2029" w:rsidRDefault="00BF282D" w:rsidP="008A2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  <w:r w:rsidR="008A2029" w:rsidRPr="008A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2B484F" w:rsidRPr="002B484F" w:rsidRDefault="002B484F" w:rsidP="002B484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4F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80742" w:rsidRDefault="002B484F" w:rsidP="00480742">
      <w:pPr>
        <w:pStyle w:val="a6"/>
        <w:shd w:val="clear" w:color="auto" w:fill="FFFFFF"/>
        <w:spacing w:after="0" w:line="240" w:lineRule="atLeast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B484F">
        <w:rPr>
          <w:rFonts w:ascii="Times New Roman" w:hAnsi="Times New Roman" w:cs="Times New Roman"/>
          <w:sz w:val="28"/>
          <w:szCs w:val="28"/>
        </w:rPr>
        <w:t xml:space="preserve">   - постановление Администрации Михайловского сельского поселения </w:t>
      </w:r>
      <w:proofErr w:type="gramStart"/>
      <w:r w:rsidRPr="00572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8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4F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2">
        <w:rPr>
          <w:rFonts w:ascii="Times New Roman" w:hAnsi="Times New Roman" w:cs="Times New Roman"/>
          <w:sz w:val="28"/>
          <w:szCs w:val="28"/>
        </w:rPr>
        <w:t>30.12.2020года №136 «О создании межведомственной комиссии Михайловского сельского поселения</w:t>
      </w:r>
      <w:r w:rsidRPr="00480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74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 признанию помещения жилым помещением, жилого </w:t>
      </w:r>
      <w:r w:rsidRPr="00480742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помещения непригодным для проживания  и многоквартирного дома аварийным и подлежащим сносу или реконструкции</w:t>
      </w:r>
      <w:r w:rsidRPr="004807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80742" w:rsidRDefault="00480742" w:rsidP="00480742">
      <w:pPr>
        <w:pStyle w:val="a6"/>
        <w:shd w:val="clear" w:color="auto" w:fill="FFFFFF"/>
        <w:spacing w:after="0" w:line="240" w:lineRule="atLeast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B484F">
        <w:rPr>
          <w:rFonts w:ascii="Times New Roman" w:hAnsi="Times New Roman" w:cs="Times New Roman"/>
          <w:sz w:val="28"/>
          <w:szCs w:val="28"/>
        </w:rPr>
        <w:t xml:space="preserve">   - постановление Администрации Михайловского сельского поселения </w:t>
      </w:r>
      <w:proofErr w:type="gramStart"/>
      <w:r w:rsidRPr="00572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2">
        <w:rPr>
          <w:rFonts w:ascii="Times New Roman" w:hAnsi="Times New Roman" w:cs="Times New Roman"/>
          <w:sz w:val="28"/>
          <w:szCs w:val="28"/>
        </w:rPr>
        <w:t>20.10.2021года №83 «О внесении изменений в постановление главы Администрации Михайловского сельского поселения  от 30.12.2020 г. № 136 «О создании межведомственной комиссии Михайловского</w:t>
      </w:r>
      <w:r w:rsidRPr="00480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7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0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742">
        <w:rPr>
          <w:rStyle w:val="ac"/>
          <w:rFonts w:ascii="Times New Roman" w:hAnsi="Times New Roman" w:cs="Times New Roman"/>
          <w:b w:val="0"/>
          <w:sz w:val="28"/>
          <w:szCs w:val="28"/>
        </w:rPr>
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 w:rsidRPr="004807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80742" w:rsidRDefault="00480742" w:rsidP="00480742">
      <w:pPr>
        <w:pStyle w:val="a6"/>
        <w:shd w:val="clear" w:color="auto" w:fill="FFFFFF"/>
        <w:spacing w:after="0" w:line="240" w:lineRule="atLeast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484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Михайловского сельского поселения </w:t>
      </w:r>
      <w:proofErr w:type="gramStart"/>
      <w:r w:rsidRPr="00572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42" w:rsidRP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2">
        <w:rPr>
          <w:rFonts w:ascii="Times New Roman" w:hAnsi="Times New Roman" w:cs="Times New Roman"/>
          <w:sz w:val="28"/>
          <w:szCs w:val="28"/>
        </w:rPr>
        <w:t xml:space="preserve">26.01.2022года №5 «О внесении изменений в постановление Администрации Михайловского сельского поселения  от 30.12.2020 г. № 136 «О создании межведомственной комиссии Михайловского сельского поселения </w:t>
      </w:r>
      <w:r w:rsidRPr="00480742">
        <w:rPr>
          <w:rStyle w:val="ac"/>
          <w:rFonts w:ascii="Times New Roman" w:hAnsi="Times New Roman" w:cs="Times New Roman"/>
          <w:b w:val="0"/>
          <w:sz w:val="28"/>
          <w:szCs w:val="28"/>
        </w:rPr>
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 w:rsidRPr="004807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029" w:rsidRPr="008A2029" w:rsidRDefault="008A2029" w:rsidP="008A2029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</w:p>
    <w:p w:rsidR="008A2029" w:rsidRPr="008A2029" w:rsidRDefault="008A2029" w:rsidP="008A20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(обнародованию) в установленном порядке. </w:t>
      </w:r>
    </w:p>
    <w:p w:rsidR="00C3592F" w:rsidRPr="00C3592F" w:rsidRDefault="008A2029" w:rsidP="00C3592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8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480742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</w:p>
    <w:p w:rsidR="00D003A3" w:rsidRDefault="00C3592F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Л.С. Присяжнюк</w:t>
      </w: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45" w:rsidRDefault="00F10145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45" w:rsidRDefault="00F10145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45" w:rsidRDefault="00F10145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45" w:rsidRDefault="00F10145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45" w:rsidRDefault="00F10145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Default="00480742" w:rsidP="00480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742" w:rsidRPr="00480742" w:rsidRDefault="00480742" w:rsidP="00480742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0742" w:rsidRPr="00480742" w:rsidRDefault="00480742" w:rsidP="00480742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0742" w:rsidRPr="00480742" w:rsidRDefault="00480742" w:rsidP="00480742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Михайловское сельского поселения</w:t>
      </w:r>
    </w:p>
    <w:p w:rsidR="00480742" w:rsidRPr="00480742" w:rsidRDefault="00480742" w:rsidP="00480742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434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80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43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7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2г. №</w:t>
      </w:r>
      <w:r w:rsidR="00FA434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480742" w:rsidRPr="006B3384" w:rsidRDefault="00480742" w:rsidP="0048074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217" w:rsidRPr="004826FA" w:rsidRDefault="00DA2217" w:rsidP="00DA2217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3D68" w:rsidRPr="004826FA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CE41E7" w:rsidRPr="004826FA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межведомственной комиссии 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вопросам признания помещения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 аварийным и подлежащим сносу или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реконструкции</w:t>
      </w:r>
    </w:p>
    <w:p w:rsidR="001C3D68" w:rsidRPr="004826FA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41E7" w:rsidRPr="004826FA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EB51C9" w:rsidRPr="004826FA" w:rsidRDefault="00EB51C9" w:rsidP="00DA221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межведомственной комиссии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Комиссия)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48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случаев, предусмотренных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7(1)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твержденного п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28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.01.2006№ 47 (далее - Постановление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(непригодным) для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 граждан,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</w:t>
      </w:r>
      <w:r w:rsid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48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Михайловское сельское поселение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Тацинского района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муниципальными правовыми актами,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Основные задачи</w:t>
      </w:r>
      <w:r w:rsidR="00EB7436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функции</w:t>
      </w: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7436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Комиссии является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и обследование помещения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признания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жилым помещением, жилого 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пригодным (непригодным) для проживания граждан, 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Комиссии являются: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9" w:history="1">
        <w:r w:rsidRPr="004826F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первым       пункта 42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Постановлении № 47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4826FA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заключения в порядке, предусмотренном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47 Постановления № 47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заключение);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обследовани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помещения (в случае принятия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 решения о необходимости проведения обследования)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2 к настоящему Положению (далее – акт)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решение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специализированной организации, проводящей обследование;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и собственнику жилого помещения. </w:t>
      </w:r>
    </w:p>
    <w:p w:rsidR="00EB51C9" w:rsidRPr="004826FA" w:rsidRDefault="00EB51C9" w:rsidP="00A5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Порядок формирования Комиссии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53AA0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Состав Комиссии утверждается постановлением администрации</w:t>
      </w:r>
      <w:r w:rsidR="0048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состав Комиссии включаются: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8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13"/>
      <w:bookmarkEnd w:id="2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инженерных</w:t>
      </w:r>
      <w:proofErr w:type="gramEnd"/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изысканий;</w:t>
      </w:r>
    </w:p>
    <w:p w:rsidR="00CD3A16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организации и квалифицированные экспе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 (с правом решающего голоса);</w:t>
      </w:r>
    </w:p>
    <w:p w:rsidR="00A53AA0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(уполномоченные ими лица)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правом совещательного голоса)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омиссии. 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факсограммой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телефонограммой не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привлечении к работе в Комиссии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правом совещательного голоса собственник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8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(уполномоченного им лица), и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органу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решение Комиссией принимается в его отсутствие. </w:t>
      </w:r>
    </w:p>
    <w:p w:rsidR="00CD3A16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Комиссии руководит председатель Комиссии.</w:t>
      </w:r>
    </w:p>
    <w:p w:rsidR="00CD3A16" w:rsidRPr="004826FA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Председатель Комиссии: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председательствует на заседаниях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подписывает протоколы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поручения членам Комиссии; </w:t>
      </w:r>
    </w:p>
    <w:p w:rsidR="00B3184F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Комиссии. </w:t>
      </w:r>
    </w:p>
    <w:p w:rsidR="00EB51C9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Секретарь Комиссии обеспечивает: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повестки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комплектацию материалов для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протокола заседания Комиссии, выписок из протокола, заключения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акта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копий протокола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заинтересованным лицам;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заключений Комиссии заинтересованным лицам.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Права и обязанности членов Комиссии.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вправе: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обязаны: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поручения председателя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извещает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Порядок работы Комиссии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и частных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47"/>
      <w:bookmarkEnd w:id="3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.08.2019 № 1082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ущерб, подлежащий возмещению в рамках программы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жилого дома садовым домом"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аявитель), либо сводный перечень объектов (жилых помещений).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50"/>
      <w:bookmarkEnd w:id="4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представляет в Комиссию следующие документы: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электронной форме: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технический паспорт жилого помещения, а для нежилых помещений - технический план;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1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44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требованиям.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68"/>
      <w:bookmarkEnd w:id="5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непредставления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предусмотренных </w:t>
      </w:r>
      <w:hyperlink w:anchor="p5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73"/>
      <w:bookmarkEnd w:id="6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работы Комиссия принимает одно из следующих решений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заключения)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47; </w:t>
      </w:r>
    </w:p>
    <w:p w:rsidR="00EB51C9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7812BD" w:rsidRPr="004826FA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9639A7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решения. Если число голосов "за" и "против"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приложить его к заключению.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обследования помещения Комиссия составляет в 3 экземплярах </w:t>
      </w:r>
      <w:hyperlink r:id="rId14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пункта 3.2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87"/>
      <w:bookmarkEnd w:id="7"/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экземпляра заключения, указанного в </w:t>
      </w:r>
      <w:hyperlink w:anchor="p73" w:history="1">
        <w:r w:rsidR="009639A7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</w:t>
      </w:r>
      <w:r w:rsidR="0010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="008A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последующего принятия решения, предусмотренного абзацем седьмым </w:t>
      </w:r>
      <w:hyperlink r:id="rId15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7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47, и направления з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вручении или выдает под подпись;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заключения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почтового отправления с уведомлением о вручении или выдает под подпись.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36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="008A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собственнику жилья и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 4.7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7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20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и общего имущества в многоквартирном доме, утвержденных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Российской Федерации от 09.07.2016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649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потребностей инвалидов"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оформляет в 3 экземплярах </w:t>
      </w:r>
      <w:hyperlink r:id="rId1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</w:t>
      </w:r>
      <w:r w:rsidR="008A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второй экземпляр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D01C75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Заключение Комиссии является основанием для принятия администрацией</w:t>
      </w:r>
      <w:r w:rsidR="008A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основанием для принятия</w:t>
      </w:r>
      <w:r w:rsidR="008A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  <w:proofErr w:type="gramEnd"/>
    </w:p>
    <w:p w:rsidR="00303CAF" w:rsidRPr="004826FA" w:rsidRDefault="00DA2217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303CAF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Заключение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об оценке соответствия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требованиям, установленным в Постановлении № 47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(кем назначена, наименование органа местного самоуправления,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дата, номер решения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  на  основании акта Комиссии, составленного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 обследования, 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решения Комиссии обследование не проводилось)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приняла заключение о 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(приводится обоснование принятого Комиссией заключения об оценке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соответствия помещени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я(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многоквартирного дома) требованиям,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установленным в Постановлении № 47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 к заключению: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перечень рассмотренных документов;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в) перечень   других   материалов,   запрошенных Комиссией;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г) особое мнение членов Комиссии: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Председатель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Члены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029" w:rsidRDefault="008A2029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029" w:rsidRPr="004826FA" w:rsidRDefault="008A2029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6FA" w:rsidRPr="004826FA" w:rsidRDefault="004826FA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DA2217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АКТ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назначена, органа местного самоуправления, дата, номер решения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(ф.и.о., занимаемая должность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заявлению 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(реквизиты заявителя: ф.и.о. и адрес - для физического лица,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для юридического лица)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дома) 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в эксплуатацию)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несущих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конкретного несоответствия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Рекомендации  К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 и предлагаемые меры,</w:t>
      </w:r>
      <w:r w:rsidR="008A202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которые 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необходимо  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принять   для обеспечения  безопасности или создания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нормальных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условий для постоянного проживания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Заключение Комиссии по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</w:t>
      </w:r>
      <w:r w:rsidR="008A202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обследования помещения ___________________________________________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Приложение к акту: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б) результаты лабораторных испытаний;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в) результаты исследований;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 другие материалы по решению межведомственной комиссии.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Члены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303CAF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3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029" w:rsidRDefault="008A2029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029" w:rsidRDefault="008A2029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029" w:rsidRDefault="008A2029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029" w:rsidRPr="00F840BF" w:rsidRDefault="008A2029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8E" w:rsidRPr="0085558E" w:rsidRDefault="0085558E" w:rsidP="0085558E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5558E" w:rsidRPr="0085558E" w:rsidRDefault="0085558E" w:rsidP="0085558E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              </w:t>
      </w:r>
    </w:p>
    <w:p w:rsidR="0085558E" w:rsidRPr="0085558E" w:rsidRDefault="0085558E" w:rsidP="0085558E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</w:p>
    <w:p w:rsidR="0085558E" w:rsidRPr="0085558E" w:rsidRDefault="0085558E" w:rsidP="0085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5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55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558E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55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5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6521" w:type="dxa"/>
          </w:tcPr>
          <w:p w:rsidR="0085558E" w:rsidRPr="006775A4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Присяжнюк Л.С., глава Администрации                                     </w:t>
            </w:r>
          </w:p>
          <w:p w:rsidR="0085558E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 Ми</w:t>
            </w:r>
            <w:r>
              <w:rPr>
                <w:b w:val="0"/>
                <w:sz w:val="28"/>
                <w:szCs w:val="28"/>
                <w:lang w:val="ru-RU"/>
              </w:rPr>
              <w:t>хайловского сельского поселения</w:t>
            </w:r>
          </w:p>
          <w:p w:rsidR="0085558E" w:rsidRPr="006775A4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1" w:type="dxa"/>
          </w:tcPr>
          <w:p w:rsidR="0085558E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Плешакова Н.В., ведущий специалист  Администрации Михайловского сельского    поселения</w:t>
            </w:r>
          </w:p>
          <w:p w:rsidR="0085558E" w:rsidRPr="004018D5" w:rsidRDefault="0085558E" w:rsidP="005E32B9">
            <w:pPr>
              <w:pStyle w:val="af1"/>
              <w:rPr>
                <w:b w:val="0"/>
                <w:sz w:val="20"/>
                <w:lang w:val="ru-RU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6521" w:type="dxa"/>
          </w:tcPr>
          <w:p w:rsidR="0085558E" w:rsidRPr="006775A4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Шикалова Н.</w:t>
            </w:r>
            <w:proofErr w:type="gramStart"/>
            <w:r w:rsidRPr="006775A4">
              <w:rPr>
                <w:b w:val="0"/>
                <w:sz w:val="28"/>
                <w:szCs w:val="28"/>
                <w:lang w:val="ru-RU"/>
              </w:rPr>
              <w:t>С</w:t>
            </w:r>
            <w:proofErr w:type="gramEnd"/>
            <w:r w:rsidRPr="006775A4">
              <w:rPr>
                <w:b w:val="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6775A4">
              <w:rPr>
                <w:b w:val="0"/>
                <w:sz w:val="28"/>
                <w:szCs w:val="28"/>
                <w:lang w:val="ru-RU"/>
              </w:rPr>
              <w:t>ведущий</w:t>
            </w:r>
            <w:proofErr w:type="gramEnd"/>
            <w:r w:rsidRPr="006775A4">
              <w:rPr>
                <w:b w:val="0"/>
                <w:sz w:val="28"/>
                <w:szCs w:val="28"/>
                <w:lang w:val="ru-RU"/>
              </w:rPr>
              <w:t xml:space="preserve"> специалист    Администрации Михайловского сельского   поселения</w:t>
            </w:r>
          </w:p>
          <w:p w:rsidR="0085558E" w:rsidRPr="004018D5" w:rsidRDefault="0085558E" w:rsidP="005E32B9">
            <w:pPr>
              <w:pStyle w:val="af1"/>
              <w:rPr>
                <w:b w:val="0"/>
                <w:sz w:val="20"/>
                <w:lang w:val="ru-RU" w:eastAsia="uk-UA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Default="0085558E" w:rsidP="005E32B9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6775A4">
              <w:rPr>
                <w:rFonts w:eastAsia="Times New Roman"/>
                <w:sz w:val="28"/>
                <w:szCs w:val="28"/>
                <w:u w:val="single"/>
              </w:rPr>
              <w:t>Члены Комиссии:</w:t>
            </w:r>
          </w:p>
          <w:p w:rsidR="0085558E" w:rsidRPr="006775A4" w:rsidRDefault="0085558E" w:rsidP="005E32B9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6521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 xml:space="preserve">Бондаренко А.В.                </w:t>
            </w:r>
          </w:p>
        </w:tc>
        <w:tc>
          <w:tcPr>
            <w:tcW w:w="6521" w:type="dxa"/>
          </w:tcPr>
          <w:p w:rsidR="0085558E" w:rsidRPr="004018D5" w:rsidRDefault="0085558E" w:rsidP="005E32B9">
            <w:pPr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депутат Собрания депутатов Михайловского     сельского поселения</w:t>
            </w: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Склярова О.С.                       </w:t>
            </w:r>
          </w:p>
        </w:tc>
        <w:tc>
          <w:tcPr>
            <w:tcW w:w="6521" w:type="dxa"/>
          </w:tcPr>
          <w:p w:rsidR="0085558E" w:rsidRPr="006775A4" w:rsidRDefault="0085558E" w:rsidP="005E32B9">
            <w:pPr>
              <w:pStyle w:val="af1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ведущий специалист Администрации Михайловского сельского  поселения</w:t>
            </w:r>
          </w:p>
          <w:p w:rsidR="0085558E" w:rsidRPr="004018D5" w:rsidRDefault="0085558E" w:rsidP="005E32B9">
            <w:pPr>
              <w:pStyle w:val="af1"/>
              <w:rPr>
                <w:b w:val="0"/>
                <w:sz w:val="20"/>
                <w:lang w:val="ru-RU" w:eastAsia="uk-UA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Pr="00104661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104661">
              <w:rPr>
                <w:rFonts w:eastAsia="Times New Roman"/>
                <w:color w:val="000000"/>
                <w:sz w:val="28"/>
                <w:szCs w:val="28"/>
              </w:rPr>
              <w:t>Рыбалкин Д.А.</w:t>
            </w:r>
          </w:p>
        </w:tc>
        <w:tc>
          <w:tcPr>
            <w:tcW w:w="6521" w:type="dxa"/>
          </w:tcPr>
          <w:p w:rsidR="0085558E" w:rsidRPr="00104661" w:rsidRDefault="0085558E" w:rsidP="005E32B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4661">
              <w:rPr>
                <w:rFonts w:eastAsia="Times New Roman"/>
                <w:color w:val="000000"/>
                <w:sz w:val="28"/>
                <w:szCs w:val="28"/>
              </w:rPr>
              <w:t>ведущий специалист сектора архитектуры и градостроительства Администрации Тацинского района (по согласованию)</w:t>
            </w: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6775A4">
              <w:rPr>
                <w:rFonts w:eastAsia="Times New Roman"/>
                <w:sz w:val="28"/>
                <w:szCs w:val="28"/>
              </w:rPr>
              <w:t>Семиколенова</w:t>
            </w:r>
            <w:proofErr w:type="spellEnd"/>
            <w:r w:rsidRPr="006775A4">
              <w:rPr>
                <w:rFonts w:eastAsia="Times New Roman"/>
                <w:sz w:val="28"/>
                <w:szCs w:val="28"/>
              </w:rPr>
              <w:t xml:space="preserve"> И.И</w:t>
            </w:r>
          </w:p>
        </w:tc>
        <w:tc>
          <w:tcPr>
            <w:tcW w:w="6521" w:type="dxa"/>
          </w:tcPr>
          <w:p w:rsidR="0085558E" w:rsidRPr="006775A4" w:rsidRDefault="0085558E" w:rsidP="005E32B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начальник МП «БТИ» Тацинского района                                                       (по согласованию)</w:t>
            </w:r>
          </w:p>
          <w:p w:rsidR="0085558E" w:rsidRDefault="0085558E" w:rsidP="005E32B9">
            <w:pPr>
              <w:jc w:val="both"/>
              <w:rPr>
                <w:rFonts w:eastAsia="Times New Roman"/>
                <w:lang w:eastAsia="uk-UA"/>
              </w:rPr>
            </w:pPr>
          </w:p>
          <w:p w:rsidR="0085558E" w:rsidRPr="004018D5" w:rsidRDefault="0085558E" w:rsidP="005E32B9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85558E" w:rsidRPr="006775A4" w:rsidTr="005E32B9">
        <w:tc>
          <w:tcPr>
            <w:tcW w:w="3510" w:type="dxa"/>
          </w:tcPr>
          <w:p w:rsidR="0085558E" w:rsidRPr="006775A4" w:rsidRDefault="0085558E" w:rsidP="005E32B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6521" w:type="dxa"/>
          </w:tcPr>
          <w:p w:rsidR="0085558E" w:rsidRPr="006775A4" w:rsidRDefault="0085558E" w:rsidP="005E32B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 жилищно-коммунального хозяйства, энергетики, транспорта, дорожного хозяйства и благоустройств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</w:t>
            </w:r>
            <w:r w:rsidRPr="006775A4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6775A4">
              <w:rPr>
                <w:rFonts w:eastAsia="Times New Roman"/>
                <w:sz w:val="28"/>
                <w:szCs w:val="28"/>
              </w:rPr>
              <w:t>по согласованию)</w:t>
            </w:r>
          </w:p>
        </w:tc>
      </w:tr>
    </w:tbl>
    <w:p w:rsidR="0085558E" w:rsidRDefault="0085558E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8E" w:rsidRDefault="0085558E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8E" w:rsidRDefault="0085558E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58E" w:rsidSect="004807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85" w:rsidRDefault="00D34285" w:rsidP="008166AB">
      <w:pPr>
        <w:spacing w:after="0" w:line="240" w:lineRule="auto"/>
      </w:pPr>
      <w:r>
        <w:separator/>
      </w:r>
    </w:p>
  </w:endnote>
  <w:endnote w:type="continuationSeparator" w:id="1">
    <w:p w:rsidR="00D34285" w:rsidRDefault="00D34285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85" w:rsidRDefault="00D34285" w:rsidP="008166AB">
      <w:pPr>
        <w:spacing w:after="0" w:line="240" w:lineRule="auto"/>
      </w:pPr>
      <w:r>
        <w:separator/>
      </w:r>
    </w:p>
  </w:footnote>
  <w:footnote w:type="continuationSeparator" w:id="1">
    <w:p w:rsidR="00D34285" w:rsidRDefault="00D34285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B7F77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0517E0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7"/>
  </w:num>
  <w:num w:numId="4">
    <w:abstractNumId w:val="40"/>
  </w:num>
  <w:num w:numId="5">
    <w:abstractNumId w:val="49"/>
  </w:num>
  <w:num w:numId="6">
    <w:abstractNumId w:val="7"/>
  </w:num>
  <w:num w:numId="7">
    <w:abstractNumId w:val="20"/>
  </w:num>
  <w:num w:numId="8">
    <w:abstractNumId w:val="36"/>
  </w:num>
  <w:num w:numId="9">
    <w:abstractNumId w:val="22"/>
  </w:num>
  <w:num w:numId="10">
    <w:abstractNumId w:val="41"/>
  </w:num>
  <w:num w:numId="11">
    <w:abstractNumId w:val="31"/>
  </w:num>
  <w:num w:numId="12">
    <w:abstractNumId w:val="8"/>
  </w:num>
  <w:num w:numId="13">
    <w:abstractNumId w:val="17"/>
  </w:num>
  <w:num w:numId="14">
    <w:abstractNumId w:val="25"/>
  </w:num>
  <w:num w:numId="15">
    <w:abstractNumId w:val="26"/>
  </w:num>
  <w:num w:numId="16">
    <w:abstractNumId w:val="43"/>
  </w:num>
  <w:num w:numId="17">
    <w:abstractNumId w:val="28"/>
  </w:num>
  <w:num w:numId="18">
    <w:abstractNumId w:val="23"/>
  </w:num>
  <w:num w:numId="19">
    <w:abstractNumId w:val="39"/>
  </w:num>
  <w:num w:numId="20">
    <w:abstractNumId w:val="13"/>
  </w:num>
  <w:num w:numId="21">
    <w:abstractNumId w:val="48"/>
  </w:num>
  <w:num w:numId="22">
    <w:abstractNumId w:val="35"/>
  </w:num>
  <w:num w:numId="23">
    <w:abstractNumId w:val="5"/>
  </w:num>
  <w:num w:numId="24">
    <w:abstractNumId w:val="15"/>
  </w:num>
  <w:num w:numId="25">
    <w:abstractNumId w:val="16"/>
  </w:num>
  <w:num w:numId="26">
    <w:abstractNumId w:val="21"/>
  </w:num>
  <w:num w:numId="27">
    <w:abstractNumId w:val="6"/>
  </w:num>
  <w:num w:numId="28">
    <w:abstractNumId w:val="3"/>
  </w:num>
  <w:num w:numId="29">
    <w:abstractNumId w:val="32"/>
  </w:num>
  <w:num w:numId="30">
    <w:abstractNumId w:val="11"/>
  </w:num>
  <w:num w:numId="31">
    <w:abstractNumId w:val="19"/>
  </w:num>
  <w:num w:numId="32">
    <w:abstractNumId w:val="44"/>
  </w:num>
  <w:num w:numId="33">
    <w:abstractNumId w:val="9"/>
  </w:num>
  <w:num w:numId="34">
    <w:abstractNumId w:val="18"/>
  </w:num>
  <w:num w:numId="35">
    <w:abstractNumId w:val="42"/>
  </w:num>
  <w:num w:numId="36">
    <w:abstractNumId w:val="12"/>
  </w:num>
  <w:num w:numId="37">
    <w:abstractNumId w:val="37"/>
  </w:num>
  <w:num w:numId="38">
    <w:abstractNumId w:val="10"/>
  </w:num>
  <w:num w:numId="39">
    <w:abstractNumId w:val="24"/>
  </w:num>
  <w:num w:numId="40">
    <w:abstractNumId w:val="30"/>
  </w:num>
  <w:num w:numId="41">
    <w:abstractNumId w:val="29"/>
  </w:num>
  <w:num w:numId="42">
    <w:abstractNumId w:val="38"/>
  </w:num>
  <w:num w:numId="43">
    <w:abstractNumId w:val="45"/>
  </w:num>
  <w:num w:numId="44">
    <w:abstractNumId w:val="0"/>
  </w:num>
  <w:num w:numId="45">
    <w:abstractNumId w:val="34"/>
  </w:num>
  <w:num w:numId="46">
    <w:abstractNumId w:val="33"/>
  </w:num>
  <w:num w:numId="47">
    <w:abstractNumId w:val="14"/>
  </w:num>
  <w:num w:numId="48">
    <w:abstractNumId w:val="1"/>
  </w:num>
  <w:num w:numId="49">
    <w:abstractNumId w:val="46"/>
  </w:num>
  <w:num w:numId="50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370"/>
    <w:rsid w:val="00032E38"/>
    <w:rsid w:val="00084469"/>
    <w:rsid w:val="00092879"/>
    <w:rsid w:val="00097148"/>
    <w:rsid w:val="000B5519"/>
    <w:rsid w:val="000C2799"/>
    <w:rsid w:val="000C5370"/>
    <w:rsid w:val="000E6146"/>
    <w:rsid w:val="00105BBD"/>
    <w:rsid w:val="00117296"/>
    <w:rsid w:val="00154D16"/>
    <w:rsid w:val="00181965"/>
    <w:rsid w:val="001C3079"/>
    <w:rsid w:val="001C3D68"/>
    <w:rsid w:val="00206275"/>
    <w:rsid w:val="00234939"/>
    <w:rsid w:val="002442CF"/>
    <w:rsid w:val="002650B3"/>
    <w:rsid w:val="0027489A"/>
    <w:rsid w:val="00275359"/>
    <w:rsid w:val="00291B82"/>
    <w:rsid w:val="002B484F"/>
    <w:rsid w:val="00303CAF"/>
    <w:rsid w:val="00314F2F"/>
    <w:rsid w:val="00330EC8"/>
    <w:rsid w:val="00343582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33FB5"/>
    <w:rsid w:val="00460874"/>
    <w:rsid w:val="00473BA5"/>
    <w:rsid w:val="00480742"/>
    <w:rsid w:val="00481347"/>
    <w:rsid w:val="004826FA"/>
    <w:rsid w:val="004B14DB"/>
    <w:rsid w:val="00525F8A"/>
    <w:rsid w:val="00530C64"/>
    <w:rsid w:val="005577AF"/>
    <w:rsid w:val="005720A2"/>
    <w:rsid w:val="00574AA5"/>
    <w:rsid w:val="005B7870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7115C5"/>
    <w:rsid w:val="00760397"/>
    <w:rsid w:val="00764005"/>
    <w:rsid w:val="00767047"/>
    <w:rsid w:val="007812BD"/>
    <w:rsid w:val="00791C97"/>
    <w:rsid w:val="007A2A1F"/>
    <w:rsid w:val="007B11F7"/>
    <w:rsid w:val="007D5BC9"/>
    <w:rsid w:val="00810437"/>
    <w:rsid w:val="008166AB"/>
    <w:rsid w:val="00833254"/>
    <w:rsid w:val="00843B63"/>
    <w:rsid w:val="00843C87"/>
    <w:rsid w:val="0085558E"/>
    <w:rsid w:val="00884815"/>
    <w:rsid w:val="00892C81"/>
    <w:rsid w:val="008A2029"/>
    <w:rsid w:val="008A6B28"/>
    <w:rsid w:val="008F34CC"/>
    <w:rsid w:val="00936DEE"/>
    <w:rsid w:val="009639A7"/>
    <w:rsid w:val="009722F6"/>
    <w:rsid w:val="00973158"/>
    <w:rsid w:val="009B0B1A"/>
    <w:rsid w:val="009F335E"/>
    <w:rsid w:val="00A53AA0"/>
    <w:rsid w:val="00A542F4"/>
    <w:rsid w:val="00A66AC9"/>
    <w:rsid w:val="00A87D1D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3033"/>
    <w:rsid w:val="00C3592F"/>
    <w:rsid w:val="00C52E61"/>
    <w:rsid w:val="00C74892"/>
    <w:rsid w:val="00C86394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34285"/>
    <w:rsid w:val="00D5636F"/>
    <w:rsid w:val="00D95338"/>
    <w:rsid w:val="00DA2217"/>
    <w:rsid w:val="00E247AB"/>
    <w:rsid w:val="00E60981"/>
    <w:rsid w:val="00E82BF5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10145"/>
    <w:rsid w:val="00F41E9C"/>
    <w:rsid w:val="00F840BF"/>
    <w:rsid w:val="00F907C3"/>
    <w:rsid w:val="00FA4348"/>
    <w:rsid w:val="00FC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4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a"/>
    <w:rsid w:val="002B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85558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8555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af3">
    <w:name w:val="Table Grid"/>
    <w:basedOn w:val="a1"/>
    <w:uiPriority w:val="59"/>
    <w:rsid w:val="008555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410117&amp;dst=100215&amp;field=134&amp;date=01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117&amp;date=01.04.2022" TargetMode="External"/><Relationship Id="rId17" Type="http://schemas.openxmlformats.org/officeDocument/2006/relationships/hyperlink" Target="https://login.consultant.ru/link/?req=doc&amp;base=LAW&amp;n=345421&amp;dst=100075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37&amp;field=134&amp;date=01.04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117&amp;dst=30&amp;field=134&amp;date=01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117&amp;dst=100145&amp;field=134&amp;date=01.04.2022" TargetMode="External"/><Relationship Id="rId10" Type="http://schemas.openxmlformats.org/officeDocument/2006/relationships/hyperlink" Target="https://login.consultant.ru/link/?req=doc&amp;base=LAW&amp;n=332586&amp;date=01.04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117&amp;dst=45&amp;field=134&amp;date=01.04.2022" TargetMode="External"/><Relationship Id="rId14" Type="http://schemas.openxmlformats.org/officeDocument/2006/relationships/hyperlink" Target="https://login.consultant.ru/link/?req=doc&amp;base=LAW&amp;n=410117&amp;dst=34&amp;field=134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A897-2271-4416-B4B5-F32EA7E0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11</cp:revision>
  <cp:lastPrinted>2019-08-15T08:44:00Z</cp:lastPrinted>
  <dcterms:created xsi:type="dcterms:W3CDTF">2022-07-06T11:22:00Z</dcterms:created>
  <dcterms:modified xsi:type="dcterms:W3CDTF">2022-07-15T06:36:00Z</dcterms:modified>
</cp:coreProperties>
</file>